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E3435">
      <w:pPr>
        <w:rPr>
          <w:rFonts w:ascii="Times New Roman" w:hAnsi="Times New Roman"/>
          <w:sz w:val="24"/>
          <w:szCs w:val="24"/>
        </w:rPr>
      </w:pPr>
      <w:bookmarkStart w:id="0" w:name="_GoBack"/>
      <w:bookmarkEnd w:id="0"/>
    </w:p>
    <w:p w14:paraId="0F0000E7">
      <w:pPr>
        <w:jc w:val="right"/>
        <w:rPr>
          <w:rFonts w:ascii="Times New Roman" w:hAnsi="Times New Roman"/>
          <w:sz w:val="24"/>
          <w:szCs w:val="24"/>
        </w:rPr>
      </w:pPr>
      <w:r>
        <w:rPr>
          <w:rFonts w:ascii="Times New Roman" w:hAnsi="Times New Roman"/>
          <w:sz w:val="24"/>
          <w:szCs w:val="24"/>
        </w:rPr>
        <w:t>Anexa nr 12</w:t>
      </w:r>
    </w:p>
    <w:p w14:paraId="02935D3C">
      <w:pPr>
        <w:jc w:val="center"/>
        <w:rPr>
          <w:rFonts w:ascii="Times New Roman" w:hAnsi="Times New Roman" w:eastAsia="Times New Roman"/>
          <w:b/>
          <w:bCs/>
          <w:sz w:val="28"/>
          <w:szCs w:val="28"/>
          <w:shd w:val="clear" w:color="auto" w:fill="FFFFFF"/>
        </w:rPr>
      </w:pPr>
      <w:r>
        <w:rPr>
          <w:rFonts w:ascii="Times New Roman" w:hAnsi="Times New Roman" w:eastAsia="Times New Roman"/>
          <w:b/>
          <w:bCs/>
          <w:sz w:val="28"/>
          <w:szCs w:val="28"/>
          <w:shd w:val="clear" w:color="auto" w:fill="FFFFFF"/>
        </w:rPr>
        <w:t>Lista cu denumirea înfrățirilor, cooperărilor sau asocierilor încheiate de Orașul Vașcău,județul Bihor</w:t>
      </w:r>
    </w:p>
    <w:p w14:paraId="4B261894">
      <w:pPr>
        <w:jc w:val="center"/>
        <w:rPr>
          <w:rFonts w:ascii="Times New Roman" w:hAnsi="Times New Roman" w:eastAsia="Times New Roman"/>
          <w:sz w:val="24"/>
          <w:szCs w:val="24"/>
          <w:shd w:val="clear" w:color="auto" w:fill="FFFFFF"/>
        </w:rPr>
      </w:pPr>
    </w:p>
    <w:p w14:paraId="51B14149">
      <w:pPr>
        <w:rPr>
          <w:rFonts w:ascii="Times New Roman" w:hAnsi="Times New Roman"/>
          <w:sz w:val="24"/>
          <w:szCs w:val="24"/>
        </w:rPr>
      </w:pPr>
      <w:r>
        <w:rPr>
          <w:rFonts w:ascii="Times New Roman" w:hAnsi="Times New Roman"/>
          <w:sz w:val="24"/>
          <w:szCs w:val="24"/>
        </w:rPr>
        <w:t xml:space="preserve">         Orașul  Vaşcău  face  parte din următoarele parteneriate strategice :</w:t>
      </w:r>
    </w:p>
    <w:p w14:paraId="215B270C">
      <w:pPr>
        <w:pStyle w:val="6"/>
        <w:spacing w:before="0" w:beforeAutospacing="0" w:after="0" w:afterAutospacing="0"/>
        <w:ind w:firstLine="720"/>
        <w:jc w:val="both"/>
      </w:pPr>
      <w:r>
        <w:t xml:space="preserve">- </w:t>
      </w:r>
      <w:r>
        <w:rPr>
          <w:b/>
        </w:rPr>
        <w:t>Aso</w:t>
      </w:r>
      <w:r>
        <w:t>c</w:t>
      </w:r>
      <w:r>
        <w:rPr>
          <w:b/>
        </w:rPr>
        <w:t>iaţiei de Dezvoltare Intercomunitară,, ECOLECT GROUP,,</w:t>
      </w:r>
      <w:r>
        <w:t xml:space="preserve"> al cărui scop principal  este   implementarea </w:t>
      </w:r>
      <w:r>
        <w:rPr>
          <w:b/>
        </w:rPr>
        <w:t>Proiectului</w:t>
      </w:r>
      <w:r>
        <w:t xml:space="preserve"> „Sistem de management integrat al Deşeurilor la nivelul judeţului Bihor”, precum şi a unificării gestiunii serviciilor de colectare, transport, tratare şi depozitare a deşeurilor municipale.</w:t>
      </w:r>
    </w:p>
    <w:p w14:paraId="34DE7AAE">
      <w:pPr>
        <w:pStyle w:val="6"/>
        <w:spacing w:before="0" w:beforeAutospacing="0" w:after="0" w:afterAutospacing="0"/>
        <w:jc w:val="both"/>
        <w:rPr>
          <w:i/>
          <w:color w:val="FF0000"/>
        </w:rPr>
      </w:pPr>
      <w:r>
        <w:rPr>
          <w:b/>
        </w:rPr>
        <w:t xml:space="preserve">            - Asociaţia  de  Dezvoltare  Intercomunitară  </w:t>
      </w:r>
      <w:r>
        <w:rPr>
          <w:b/>
          <w:i/>
        </w:rPr>
        <w:t xml:space="preserve">”APAREGIO” - </w:t>
      </w:r>
      <w:r>
        <w:t>Asociaţia se constituie în scopul înfiinţării, organizării, reglementării, finantarii,</w:t>
      </w:r>
      <w:r>
        <w:rPr>
          <w:color w:val="FF0000"/>
        </w:rPr>
        <w:t xml:space="preserve"> </w:t>
      </w:r>
      <w:r>
        <w:t>exploatării, monitorizării şi gestionării în comun a serviciului de alimentare cu apă şi de canalizare pe raza de competenţă a unităţilor administrativ-teritoriale membre, precum şi realizarea în comun a unor proiecte de investiţii publice de interes zonal sau regional, destinate înfiinţării, modernizării şi/sau dezvoltării, după caz, a sistemelor de utilităţi publice aferente Serviciului, pe baza strategiei de dezvoltare a Serviciului.</w:t>
      </w:r>
      <w:r>
        <w:rPr>
          <w:i/>
          <w:color w:val="FF0000"/>
        </w:rPr>
        <w:t xml:space="preserve">    </w:t>
      </w:r>
    </w:p>
    <w:p w14:paraId="2DB3F61A">
      <w:pPr>
        <w:tabs>
          <w:tab w:val="left" w:pos="1418"/>
        </w:tabs>
        <w:jc w:val="both"/>
        <w:rPr>
          <w:rFonts w:ascii="Times New Roman" w:hAnsi="Times New Roman"/>
          <w:color w:val="000000"/>
          <w:sz w:val="24"/>
          <w:szCs w:val="24"/>
        </w:rPr>
      </w:pPr>
      <w:r>
        <w:rPr>
          <w:rFonts w:ascii="Times New Roman" w:hAnsi="Times New Roman"/>
          <w:i/>
          <w:color w:val="000000"/>
          <w:sz w:val="24"/>
          <w:szCs w:val="24"/>
        </w:rPr>
        <w:t xml:space="preserve">          </w:t>
      </w:r>
      <w:r>
        <w:rPr>
          <w:rFonts w:ascii="Times New Roman" w:hAnsi="Times New Roman"/>
          <w:b/>
          <w:color w:val="000000"/>
          <w:sz w:val="24"/>
          <w:szCs w:val="24"/>
        </w:rPr>
        <w:t xml:space="preserve">- Agenţia de dezvoltare durabilă a Judeţului  Bihor </w:t>
      </w:r>
      <w:r>
        <w:rPr>
          <w:rFonts w:ascii="Times New Roman" w:hAnsi="Times New Roman"/>
          <w:color w:val="000000"/>
          <w:sz w:val="24"/>
          <w:szCs w:val="24"/>
        </w:rPr>
        <w:t>– are drept scop facilitarea cooperării între unităţile administrativ teritoriale membre în vederea promovării şi realizării proiectelor de dezvoltare judeţeană de interes comun cu respectarea principiilor  dezvoltării  durabilă.</w:t>
      </w:r>
    </w:p>
    <w:p w14:paraId="4DBDDB58">
      <w:pPr>
        <w:jc w:val="both"/>
        <w:rPr>
          <w:rFonts w:ascii="Times New Roman" w:hAnsi="Times New Roman"/>
          <w:sz w:val="24"/>
          <w:szCs w:val="24"/>
        </w:rPr>
      </w:pPr>
      <w:r>
        <w:rPr>
          <w:rFonts w:ascii="Times New Roman" w:hAnsi="Times New Roman"/>
          <w:color w:val="000000"/>
          <w:sz w:val="24"/>
          <w:szCs w:val="24"/>
        </w:rPr>
        <w:t xml:space="preserve">           -  </w:t>
      </w:r>
      <w:r>
        <w:rPr>
          <w:rFonts w:ascii="Times New Roman" w:hAnsi="Times New Roman"/>
          <w:b/>
          <w:sz w:val="24"/>
          <w:szCs w:val="24"/>
        </w:rPr>
        <w:t xml:space="preserve">Asociatia Grupul de Actiune Locala “CODRU -MOMA” </w:t>
      </w:r>
      <w:r>
        <w:rPr>
          <w:rFonts w:ascii="Times New Roman" w:hAnsi="Times New Roman"/>
          <w:sz w:val="24"/>
          <w:szCs w:val="24"/>
        </w:rPr>
        <w:t xml:space="preserve">al cărui scop principal este sprijinirea dezvoltării comunităţilor partenere ,prin promovarea cooperării pentru rezolvarea unor proiecte comune prin conceperea şi implementarea proiectelor şi accesarea fondurilor europene, punând bazele identificării nevoilor locale, ale întăririi capacităţii de dezvoltare şi implementării strategiei de dezvoltare în vederea conservării patrimoniului rural şi cultural, al dezvoltării mediului economic şi abilităţilor organizatorice ale comunităţilor locale. </w:t>
      </w:r>
    </w:p>
    <w:p w14:paraId="67F3F351">
      <w:pPr>
        <w:jc w:val="both"/>
        <w:rPr>
          <w:rFonts w:ascii="Times New Roman" w:hAnsi="Times New Roman"/>
          <w:sz w:val="24"/>
          <w:szCs w:val="24"/>
          <w:lang w:val="ro-RO"/>
        </w:rPr>
      </w:pPr>
      <w:r>
        <w:rPr>
          <w:rFonts w:ascii="Times New Roman" w:hAnsi="Times New Roman"/>
          <w:sz w:val="24"/>
          <w:szCs w:val="24"/>
        </w:rPr>
        <w:t xml:space="preserve">         - </w:t>
      </w:r>
      <w:r>
        <w:rPr>
          <w:rFonts w:ascii="Times New Roman" w:hAnsi="Times New Roman"/>
          <w:b/>
          <w:bCs/>
          <w:sz w:val="24"/>
          <w:szCs w:val="24"/>
        </w:rPr>
        <w:t xml:space="preserve">Asociația de Dezvoltare Intercomunitară  ,, Moții  Țara de Piatră </w:t>
      </w:r>
      <w:r>
        <w:rPr>
          <w:rFonts w:ascii="Times New Roman" w:hAnsi="Times New Roman"/>
          <w:sz w:val="24"/>
          <w:szCs w:val="24"/>
        </w:rPr>
        <w:t xml:space="preserve">,, al cărui scop este </w:t>
      </w:r>
      <w:r>
        <w:rPr>
          <w:rFonts w:ascii="Times New Roman" w:hAnsi="Times New Roman"/>
          <w:sz w:val="24"/>
          <w:szCs w:val="24"/>
          <w:lang w:val="ro-RO"/>
        </w:rPr>
        <w:t>crearea  cadrului de cooperare  între unitățile administrativ -teritoriale din zona moților în vederea coordonării activităților de dezvoltare durabilă în următoarele domenii : infrastructură  de transport ,turistică și de agreement ,turism ,agricultură și creșterea animalelor ,silvicultură , protecția mediului și biodiversitate prezervarea culturii ,artei și meșteșugurilor tradiționale ,promovarea zonei ca destinație turistică  și de investiții ,sănătate și securitate prin facilitarea cooperării și schimbului de informații între furnizorii de astfel de servicii . Acțiunile  sunt menite să contribuie la ,,Recuperarea și afirmarea plenară a Identității  culturale a Moților ,prin valorificarea superioară a Patrimoniului natural și cultural tradițional ,repertoriat în fiecare localitate a regiunii și reevaluarea acestui inestimabil tezaur de valori prin turismul ecologic și cultural  ,la nivel local , zonal , național și internațional .</w:t>
      </w:r>
    </w:p>
    <w:p w14:paraId="23B3D3B2">
      <w:pPr>
        <w:jc w:val="both"/>
        <w:rPr>
          <w:rFonts w:ascii="Times New Roman" w:hAnsi="Times New Roman"/>
          <w:sz w:val="24"/>
          <w:szCs w:val="24"/>
        </w:rPr>
      </w:pPr>
      <w:r>
        <w:rPr>
          <w:rFonts w:ascii="Times New Roman" w:hAnsi="Times New Roman"/>
          <w:sz w:val="24"/>
          <w:szCs w:val="24"/>
        </w:rPr>
        <w:t xml:space="preserve">             Orașul Vașcău, județul Bihor este înfrățit cu localitatea Apateu din Ungaria , prin Hotărârea Consiliului  Local  al orașului Vașcău  nr. 14 din 11.05.1995  s-au stabilit  relațiile de colaborare  dintre  administrația  locală  a orașului Vașcău și autoguvernarea localității  Apateu din Ungaria.</w:t>
      </w:r>
    </w:p>
    <w:p w14:paraId="4423E20A">
      <w:pPr>
        <w:jc w:val="both"/>
      </w:pPr>
    </w:p>
    <w:sectPr>
      <w:headerReference r:id="rId5" w:type="default"/>
      <w:footerReference r:id="rId6"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CEFFF">
    <w:pPr>
      <w:pStyle w:val="4"/>
      <w:spacing w:after="0"/>
      <w:rPr>
        <w:lang w:val="ro-RO"/>
      </w:rPr>
    </w:pPr>
    <w:r>
      <w:rPr>
        <w:lang w:val="ro-RO"/>
      </w:rPr>
      <w:t>PREȘEDINTE   DE ȘEDINȚĂ                                                                       CONTRASEMNEAZĂ</w:t>
    </w:r>
  </w:p>
  <w:p w14:paraId="1D9327A5">
    <w:pPr>
      <w:pStyle w:val="4"/>
      <w:spacing w:after="0"/>
      <w:rPr>
        <w:lang w:val="ro-RO"/>
      </w:rPr>
    </w:pPr>
    <w:r>
      <w:rPr>
        <w:lang w:val="ro-RO"/>
      </w:rPr>
      <w:t>LAZA -MATIUȚA  LIVIU                                                            SECRETAR  GENERAL  UAT  ORAȘ  VAȘCĂU</w:t>
    </w:r>
  </w:p>
  <w:p w14:paraId="0964177E">
    <w:pPr>
      <w:pStyle w:val="4"/>
      <w:spacing w:after="0"/>
      <w:rPr>
        <w:lang w:val="ro-RO"/>
      </w:rPr>
    </w:pPr>
    <w:r>
      <w:rPr>
        <w:lang w:val="ro-RO"/>
      </w:rPr>
      <w:t xml:space="preserve">                                                                                                                            POP   RODICA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ACA73">
    <w:pPr>
      <w:pStyle w:val="5"/>
    </w:pPr>
    <w:r>
      <w:rPr>
        <w:lang/>
      </w:rPr>
      <w:drawing>
        <wp:anchor distT="0" distB="0" distL="114300" distR="114300" simplePos="0" relativeHeight="251659264" behindDoc="0" locked="0" layoutInCell="1" allowOverlap="1">
          <wp:simplePos x="0" y="0"/>
          <wp:positionH relativeFrom="margin">
            <wp:posOffset>5245735</wp:posOffset>
          </wp:positionH>
          <wp:positionV relativeFrom="margin">
            <wp:posOffset>-809625</wp:posOffset>
          </wp:positionV>
          <wp:extent cx="574040" cy="808355"/>
          <wp:effectExtent l="0" t="0" r="16510" b="1079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rcRect b="6015"/>
                  <a:stretch>
                    <a:fillRect/>
                  </a:stretch>
                </pic:blipFill>
                <pic:spPr>
                  <a:xfrm>
                    <a:off x="0" y="0"/>
                    <a:ext cx="574040" cy="808355"/>
                  </a:xfrm>
                  <a:prstGeom prst="rect">
                    <a:avLst/>
                  </a:prstGeom>
                  <a:noFill/>
                  <a:ln>
                    <a:noFill/>
                  </a:ln>
                </pic:spPr>
              </pic:pic>
            </a:graphicData>
          </a:graphic>
        </wp:anchor>
      </w:drawing>
    </w:r>
    <w:r>
      <w:t>CONSILIUL  LOCAL  AL  ORAȘULUI VAȘCĂU</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hyphenationZone w:val="360"/>
  <w:displayHorizontalDrawingGridEvery w:val="1"/>
  <w:displayVerticalDrawingGridEvery w:val="1"/>
  <w:characterSpacingControl w:val="doNotCompress"/>
  <w:hdrShapeDefaults>
    <o:shapelayout v:ext="edit">
      <o:idmap v:ext="edit" data="1"/>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2F6"/>
    <w:rsid w:val="000E52F6"/>
    <w:rsid w:val="001166E2"/>
    <w:rsid w:val="001941AA"/>
    <w:rsid w:val="001A327B"/>
    <w:rsid w:val="003E6623"/>
    <w:rsid w:val="00474D19"/>
    <w:rsid w:val="005453E4"/>
    <w:rsid w:val="00546EE4"/>
    <w:rsid w:val="007E11CE"/>
    <w:rsid w:val="00834384"/>
    <w:rsid w:val="008E6304"/>
    <w:rsid w:val="00B73A7D"/>
    <w:rsid w:val="00C90BA8"/>
    <w:rsid w:val="00D45E3A"/>
    <w:rsid w:val="00F51D3A"/>
    <w:rsid w:val="00F65C39"/>
    <w:rsid w:val="00FC2684"/>
    <w:rsid w:val="00FF6748"/>
    <w:rsid w:val="13B54EE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spacing w:after="160" w:line="259" w:lineRule="auto"/>
    </w:pPr>
    <w:rPr>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Style w:val="3"/>
      <w:tblCellMar>
        <w:top w:w="0" w:type="dxa"/>
        <w:left w:w="108" w:type="dxa"/>
        <w:bottom w:w="0" w:type="dxa"/>
        <w:right w:w="108" w:type="dxa"/>
      </w:tblCellMar>
    </w:tblPr>
    <w:trPr>
      <w:wBefore w:w="0" w:type="dxa"/>
    </w:trPr>
  </w:style>
  <w:style w:type="paragraph" w:styleId="4">
    <w:name w:val="footer"/>
    <w:basedOn w:val="1"/>
    <w:link w:val="10"/>
    <w:unhideWhenUsed/>
    <w:uiPriority w:val="99"/>
    <w:pPr>
      <w:tabs>
        <w:tab w:val="center" w:pos="4680"/>
        <w:tab w:val="right" w:pos="9360"/>
      </w:tabs>
    </w:pPr>
  </w:style>
  <w:style w:type="paragraph" w:styleId="5">
    <w:name w:val="header"/>
    <w:basedOn w:val="1"/>
    <w:link w:val="9"/>
    <w:unhideWhenUsed/>
    <w:uiPriority w:val="99"/>
    <w:pPr>
      <w:tabs>
        <w:tab w:val="center" w:pos="4680"/>
        <w:tab w:val="right" w:pos="9360"/>
      </w:tabs>
    </w:pPr>
  </w:style>
  <w:style w:type="paragraph" w:styleId="6">
    <w:name w:val="Normal (Web)"/>
    <w:basedOn w:val="1"/>
    <w:uiPriority w:val="0"/>
    <w:pPr>
      <w:spacing w:before="100" w:beforeAutospacing="1" w:after="100" w:afterAutospacing="1" w:line="240" w:lineRule="auto"/>
    </w:pPr>
    <w:rPr>
      <w:rFonts w:ascii="Times New Roman" w:hAnsi="Times New Roman" w:eastAsia="Times New Roman" w:cs="Times New Roman"/>
      <w:sz w:val="24"/>
      <w:szCs w:val="24"/>
      <w:lang w:val="ro-RO" w:eastAsia="ro-RO"/>
    </w:rPr>
  </w:style>
  <w:style w:type="paragraph" w:styleId="7">
    <w:name w:val="Normal Indent"/>
    <w:basedOn w:val="1"/>
    <w:semiHidden/>
    <w:unhideWhenUsed/>
    <w:uiPriority w:val="99"/>
    <w:pPr>
      <w:ind w:left="720"/>
    </w:pPr>
  </w:style>
  <w:style w:type="paragraph" w:customStyle="1" w:styleId="8">
    <w:name w:val="Caracter Caracter Char Char"/>
    <w:basedOn w:val="1"/>
    <w:next w:val="7"/>
    <w:uiPriority w:val="0"/>
    <w:pPr>
      <w:spacing w:line="240" w:lineRule="exact"/>
    </w:pPr>
    <w:rPr>
      <w:rFonts w:ascii="Tahoma" w:hAnsi="Tahoma" w:eastAsia="Times New Roman" w:cs="Times New Roman"/>
      <w:sz w:val="20"/>
      <w:szCs w:val="20"/>
    </w:rPr>
  </w:style>
  <w:style w:type="character" w:customStyle="1" w:styleId="9">
    <w:name w:val="Header Char"/>
    <w:link w:val="5"/>
    <w:uiPriority w:val="99"/>
    <w:rPr>
      <w:sz w:val="22"/>
      <w:szCs w:val="22"/>
    </w:rPr>
  </w:style>
  <w:style w:type="character" w:customStyle="1" w:styleId="10">
    <w:name w:val="Footer Char"/>
    <w:link w:val="4"/>
    <w:uiPriority w:val="99"/>
    <w:rPr>
      <w:sz w:val="2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419</Words>
  <Characters>2795</Characters>
  <Lines>23</Lines>
  <Paragraphs>6</Paragraphs>
  <TotalTime>0</TotalTime>
  <ScaleCrop>false</ScaleCrop>
  <LinksUpToDate>false</LinksUpToDate>
  <CharactersWithSpaces>3307</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2021-12-08T11:59:00Z</dcterms:created>
  <dc:creator>PC</dc:creator>
  <cp:lastModifiedBy>USER</cp:lastModifiedBy>
  <cp:lastPrinted>2021-12-27T13:37:00Z</cp:lastPrinted>
  <dcterms:modified xsi:type="dcterms:W3CDTF">2026-10-14T05:57:33Z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F6E5D49EA50B4B56A0BF14B5F85DABFB_13</vt:lpwstr>
  </property>
</Properties>
</file>